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2D" w:rsidRPr="00D55B2D" w:rsidRDefault="00D55B2D" w:rsidP="00D55B2D">
      <w:pPr>
        <w:spacing w:after="0" w:line="240" w:lineRule="auto"/>
        <w:jc w:val="right"/>
        <w:rPr>
          <w:rFonts w:ascii="Times New Roman" w:eastAsia="Cambria Math" w:hAnsi="Times New Roman" w:cs="Times New Roman"/>
          <w:b/>
          <w:sz w:val="28"/>
          <w:szCs w:val="28"/>
        </w:rPr>
      </w:pPr>
      <w:bookmarkStart w:id="0" w:name="_GoBack"/>
      <w:bookmarkEnd w:id="0"/>
      <w:r w:rsidRPr="00D55B2D">
        <w:rPr>
          <w:rFonts w:ascii="Times New Roman" w:eastAsia="Cambria Math" w:hAnsi="Times New Roman" w:cs="Times New Roman"/>
          <w:b/>
          <w:sz w:val="28"/>
          <w:szCs w:val="28"/>
        </w:rPr>
        <w:t xml:space="preserve">Приложение </w:t>
      </w:r>
      <w:r w:rsidR="0030712E">
        <w:rPr>
          <w:rFonts w:ascii="Times New Roman" w:eastAsia="Cambria Math" w:hAnsi="Times New Roman" w:cs="Times New Roman"/>
          <w:b/>
          <w:sz w:val="28"/>
          <w:szCs w:val="28"/>
        </w:rPr>
        <w:t>5</w:t>
      </w:r>
    </w:p>
    <w:p w:rsidR="00D55B2D" w:rsidRPr="00D55B2D" w:rsidRDefault="00D55B2D" w:rsidP="00D55B2D">
      <w:pPr>
        <w:spacing w:after="0" w:line="240" w:lineRule="auto"/>
        <w:jc w:val="center"/>
        <w:rPr>
          <w:rFonts w:ascii="Times New Roman" w:eastAsia="Cambria Math" w:hAnsi="Times New Roman" w:cs="Times New Roman"/>
          <w:sz w:val="28"/>
          <w:szCs w:val="28"/>
        </w:rPr>
      </w:pPr>
    </w:p>
    <w:p w:rsidR="00D55B2D" w:rsidRPr="00D55B2D" w:rsidRDefault="00D55B2D" w:rsidP="00D55B2D">
      <w:pPr>
        <w:keepNext/>
        <w:keepLines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eastAsia="ru-RU"/>
        </w:rPr>
        <w:t>Договор об оказании дополнительных (коммунальных) услуг</w:t>
      </w:r>
    </w:p>
    <w:p w:rsidR="00D55B2D" w:rsidRPr="00D55B2D" w:rsidRDefault="00D55B2D" w:rsidP="00D55B2D">
      <w:pPr>
        <w:keepNext/>
        <w:keepLines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  <w:t>проживающим в студенческом</w:t>
      </w:r>
      <w:bookmarkStart w:id="1" w:name="bookmark2"/>
      <w:r w:rsidRPr="00D55B2D"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  <w:t xml:space="preserve"> общежитии</w:t>
      </w:r>
      <w:bookmarkEnd w:id="1"/>
    </w:p>
    <w:p w:rsidR="00D55B2D" w:rsidRPr="00D55B2D" w:rsidRDefault="00D55B2D" w:rsidP="00D55B2D">
      <w:pPr>
        <w:keepNext/>
        <w:keepLines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</w:p>
    <w:p w:rsidR="00D55B2D" w:rsidRPr="00D55B2D" w:rsidRDefault="00D55B2D" w:rsidP="00D55B2D">
      <w:pPr>
        <w:tabs>
          <w:tab w:val="left" w:pos="6472"/>
          <w:tab w:val="left" w:leader="underscore" w:pos="8666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г. Саратов                                                                                                                            «_____»___________ 20___г.</w:t>
      </w:r>
    </w:p>
    <w:p w:rsidR="00D55B2D" w:rsidRDefault="00D55B2D" w:rsidP="00D55B2D">
      <w:pPr>
        <w:tabs>
          <w:tab w:val="left" w:leader="underscore" w:pos="9270"/>
        </w:tabs>
        <w:spacing w:after="0" w:line="240" w:lineRule="auto"/>
        <w:jc w:val="both"/>
        <w:rPr>
          <w:rFonts w:ascii="Times New Roman" w:eastAsia="Tahoma" w:hAnsi="Times New Roman" w:cs="Times New Roman"/>
          <w:spacing w:val="-2"/>
          <w:sz w:val="20"/>
          <w:szCs w:val="20"/>
          <w:lang w:eastAsia="ru-RU"/>
        </w:rPr>
      </w:pPr>
    </w:p>
    <w:p w:rsidR="00D55B2D" w:rsidRPr="007A0A36" w:rsidRDefault="00D55B2D" w:rsidP="00D5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0"/>
          <w:szCs w:val="20"/>
          <w:lang w:eastAsia="ru-RU"/>
        </w:rPr>
      </w:pPr>
      <w:r w:rsidRPr="002B51F1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 (далее – ФГБОУ ВО «СГЮА», Академия), именуемое в дальнейшем</w:t>
      </w:r>
      <w:r w:rsidRPr="002B51F1">
        <w:rPr>
          <w:rFonts w:ascii="Times New Roman" w:eastAsia="Cambria Math" w:hAnsi="Times New Roman" w:cs="Times New Roman"/>
          <w:sz w:val="20"/>
          <w:szCs w:val="20"/>
          <w:lang w:eastAsia="ru-RU"/>
        </w:rPr>
        <w:t xml:space="preserve"> </w:t>
      </w:r>
      <w:r w:rsidRPr="002B51F1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«</w:t>
      </w:r>
      <w:r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Исполнитель</w:t>
      </w:r>
      <w:r w:rsidRPr="002B51F1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», в лице</w:t>
      </w:r>
      <w:r w:rsidR="00093DF4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7A0A36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________________________________________</w:t>
      </w:r>
      <w:r w:rsidR="00093DF4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______</w:t>
      </w:r>
      <w:r w:rsidRPr="007A0A36">
        <w:rPr>
          <w:rFonts w:ascii="Times New Roman" w:eastAsia="Cambria Math" w:hAnsi="Times New Roman" w:cs="Times New Roman"/>
          <w:spacing w:val="-9"/>
          <w:sz w:val="20"/>
          <w:szCs w:val="20"/>
          <w:lang w:eastAsia="ru-RU"/>
        </w:rPr>
        <w:t>_______________________________________</w:t>
      </w:r>
    </w:p>
    <w:p w:rsidR="00D55B2D" w:rsidRPr="007A0A36" w:rsidRDefault="00D55B2D" w:rsidP="00D5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7A0A36">
        <w:rPr>
          <w:rFonts w:ascii="Times New Roman" w:eastAsia="Cambria Math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 с </w:t>
      </w:r>
      <w:r w:rsidRPr="007A0A36">
        <w:rPr>
          <w:rFonts w:ascii="Times New Roman" w:eastAsia="Cambria Math" w:hAnsi="Times New Roman" w:cs="Times New Roman"/>
          <w:spacing w:val="-15"/>
          <w:sz w:val="20"/>
          <w:szCs w:val="20"/>
          <w:lang w:eastAsia="ru-RU"/>
        </w:rPr>
        <w:t>одной</w:t>
      </w:r>
      <w:r w:rsidRPr="007A0A36">
        <w:rPr>
          <w:rFonts w:ascii="Times New Roman" w:eastAsia="Cambria Math" w:hAnsi="Times New Roman" w:cs="Times New Roman"/>
          <w:sz w:val="20"/>
          <w:szCs w:val="20"/>
          <w:lang w:eastAsia="ru-RU"/>
        </w:rPr>
        <w:t> </w:t>
      </w:r>
      <w:r w:rsidRPr="007A0A36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стороны,</w:t>
      </w:r>
    </w:p>
    <w:p w:rsidR="00D55B2D" w:rsidRPr="007A0A36" w:rsidRDefault="00D55B2D" w:rsidP="00D5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7A0A36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и _________________________________________________________________________________________________________</w:t>
      </w:r>
    </w:p>
    <w:p w:rsidR="00D55B2D" w:rsidRPr="007A0A36" w:rsidRDefault="00D55B2D" w:rsidP="00D5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spacing w:val="-10"/>
          <w:sz w:val="20"/>
          <w:szCs w:val="20"/>
          <w:vertAlign w:val="subscript"/>
          <w:lang w:eastAsia="ru-RU"/>
        </w:rPr>
      </w:pPr>
      <w:r w:rsidRPr="007A0A36">
        <w:rPr>
          <w:rFonts w:ascii="Times New Roman" w:eastAsia="Cambria Math" w:hAnsi="Times New Roman" w:cs="Times New Roman"/>
          <w:spacing w:val="-10"/>
          <w:sz w:val="20"/>
          <w:szCs w:val="20"/>
          <w:vertAlign w:val="subscript"/>
          <w:lang w:eastAsia="ru-RU"/>
        </w:rPr>
        <w:t>(ФИО)</w:t>
      </w:r>
    </w:p>
    <w:p w:rsidR="00D55B2D" w:rsidRDefault="00D55B2D" w:rsidP="00D5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</w:pPr>
      <w:r w:rsidRPr="002B51F1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__________________________________________________________</w:t>
      </w:r>
      <w:r w:rsidR="00093DF4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______________________</w:t>
      </w:r>
      <w:r w:rsidRPr="002B51F1"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  <w:t>__________________________</w:t>
      </w:r>
      <w:r w:rsidRPr="002B51F1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,</w:t>
      </w:r>
    </w:p>
    <w:p w:rsidR="00D55B2D" w:rsidRPr="002B51F1" w:rsidRDefault="00D55B2D" w:rsidP="00D5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pacing w:val="-10"/>
          <w:sz w:val="20"/>
          <w:szCs w:val="20"/>
          <w:lang w:eastAsia="ru-RU"/>
        </w:rPr>
      </w:pPr>
      <w:r w:rsidRPr="002B51F1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именуемый(</w:t>
      </w:r>
      <w:proofErr w:type="spellStart"/>
      <w:r w:rsidRPr="002B51F1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>ая</w:t>
      </w:r>
      <w:proofErr w:type="spellEnd"/>
      <w:r w:rsidRPr="002B51F1">
        <w:rPr>
          <w:rFonts w:ascii="Times New Roman" w:eastAsia="Cambria Math" w:hAnsi="Times New Roman" w:cs="Times New Roman"/>
          <w:spacing w:val="-2"/>
          <w:sz w:val="20"/>
          <w:szCs w:val="20"/>
          <w:lang w:eastAsia="ru-RU"/>
        </w:rPr>
        <w:t xml:space="preserve">) в </w:t>
      </w:r>
      <w:r w:rsidRPr="002B51F1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дальнейшем «</w:t>
      </w:r>
      <w:r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>Проживающий</w:t>
      </w:r>
      <w:r w:rsidRPr="002B51F1">
        <w:rPr>
          <w:rFonts w:ascii="Times New Roman" w:eastAsia="Cambria Math" w:hAnsi="Times New Roman" w:cs="Times New Roman"/>
          <w:spacing w:val="-7"/>
          <w:sz w:val="20"/>
          <w:szCs w:val="20"/>
          <w:lang w:eastAsia="ru-RU"/>
        </w:rPr>
        <w:t xml:space="preserve">», с другой стороны, совместно именуемые «Стороны», </w:t>
      </w:r>
      <w:r w:rsidRPr="002B51F1">
        <w:rPr>
          <w:rFonts w:ascii="Times New Roman" w:eastAsia="Cambria Math" w:hAnsi="Times New Roman" w:cs="Times New Roman"/>
          <w:spacing w:val="-11"/>
          <w:sz w:val="20"/>
          <w:szCs w:val="20"/>
          <w:lang w:eastAsia="ru-RU"/>
        </w:rPr>
        <w:t>заключили настоящий Договор (далее – Договор) о нижеследующем:</w:t>
      </w:r>
    </w:p>
    <w:p w:rsidR="00D55B2D" w:rsidRDefault="00D55B2D" w:rsidP="00093DF4">
      <w:pPr>
        <w:tabs>
          <w:tab w:val="left" w:leader="underscore" w:pos="9270"/>
        </w:tabs>
        <w:spacing w:after="0" w:line="240" w:lineRule="auto"/>
        <w:jc w:val="both"/>
        <w:rPr>
          <w:rFonts w:ascii="Times New Roman" w:eastAsia="Tahoma" w:hAnsi="Times New Roman" w:cs="Times New Roman"/>
          <w:spacing w:val="-2"/>
          <w:sz w:val="20"/>
          <w:szCs w:val="20"/>
          <w:lang w:eastAsia="ru-RU"/>
        </w:rPr>
      </w:pPr>
    </w:p>
    <w:p w:rsidR="00D55B2D" w:rsidRPr="00D55B2D" w:rsidRDefault="00D55B2D" w:rsidP="00093DF4">
      <w:pPr>
        <w:keepNext/>
        <w:keepLines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  <w:bookmarkStart w:id="2" w:name="bookmark3"/>
      <w:r w:rsidRPr="00D55B2D"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  <w:t>1. Предмет Договора</w:t>
      </w:r>
      <w:bookmarkEnd w:id="2"/>
    </w:p>
    <w:p w:rsidR="00D55B2D" w:rsidRPr="00D55B2D" w:rsidRDefault="00D55B2D" w:rsidP="00093DF4">
      <w:pPr>
        <w:tabs>
          <w:tab w:val="left" w:pos="362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Исполнитель предоставляет Проживающему следующие дополнительные (коммунальные) услуги:</w:t>
      </w:r>
    </w:p>
    <w:p w:rsidR="00D55B2D" w:rsidRPr="00D55B2D" w:rsidRDefault="00D55B2D" w:rsidP="00093DF4">
      <w:pPr>
        <w:tabs>
          <w:tab w:val="left" w:pos="362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пользование энергоемкими электроприборами;</w:t>
      </w:r>
    </w:p>
    <w:p w:rsidR="00D55B2D" w:rsidRPr="00D55B2D" w:rsidRDefault="00D55B2D" w:rsidP="00093DF4">
      <w:pPr>
        <w:tabs>
          <w:tab w:val="left" w:pos="381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 xml:space="preserve">пользование дополнительными бытовыми услугами: камера хранения, </w:t>
      </w:r>
      <w:proofErr w:type="spellStart"/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постирочная</w:t>
      </w:r>
      <w:proofErr w:type="spellEnd"/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;</w:t>
      </w:r>
    </w:p>
    <w:p w:rsidR="00D55B2D" w:rsidRPr="00D55B2D" w:rsidRDefault="00D55B2D" w:rsidP="00093DF4">
      <w:pPr>
        <w:tabs>
          <w:tab w:val="left" w:pos="381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дополнительные меры по обеспечению безопасности проживающих: установка видеонаблюдения.</w:t>
      </w:r>
    </w:p>
    <w:p w:rsidR="00D55B2D" w:rsidRPr="00D55B2D" w:rsidRDefault="00D55B2D" w:rsidP="00093DF4">
      <w:pPr>
        <w:keepNext/>
        <w:keepLines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  <w:bookmarkStart w:id="3" w:name="bookmark4"/>
      <w:r w:rsidRPr="00D55B2D"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  <w:t>2. Обязанности Сторон</w:t>
      </w:r>
      <w:bookmarkEnd w:id="3"/>
    </w:p>
    <w:p w:rsidR="00D55B2D" w:rsidRPr="00D55B2D" w:rsidRDefault="00D55B2D" w:rsidP="00093DF4">
      <w:pPr>
        <w:tabs>
          <w:tab w:val="left" w:pos="405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2.1. Исполнитель обязуется:</w:t>
      </w:r>
    </w:p>
    <w:p w:rsidR="00D55B2D" w:rsidRPr="00D55B2D" w:rsidRDefault="00D55B2D" w:rsidP="00093DF4">
      <w:pPr>
        <w:numPr>
          <w:ilvl w:val="2"/>
          <w:numId w:val="10"/>
        </w:numPr>
        <w:tabs>
          <w:tab w:val="left" w:pos="587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Предоставить право Проживающему,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 холодильником и другой бытовой электротехникой, за исключением энергоемкого оборудования (калориферы, электроплиты, электрочайники и т.д.). Плата за потребляемую электроэнергию этими приборами устанавливается Исполнителем в соответствии с мощностью приборов и нормативным количеством часов их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 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эксплуатации.</w:t>
      </w:r>
    </w:p>
    <w:p w:rsidR="00D55B2D" w:rsidRPr="00D55B2D" w:rsidRDefault="00D55B2D" w:rsidP="00093DF4">
      <w:pPr>
        <w:numPr>
          <w:ilvl w:val="2"/>
          <w:numId w:val="10"/>
        </w:numPr>
        <w:tabs>
          <w:tab w:val="left" w:pos="563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Обеспечить видеонаблюдение в целях обеспечения безопасности проживающих.</w:t>
      </w:r>
    </w:p>
    <w:p w:rsidR="00D55B2D" w:rsidRPr="00D55B2D" w:rsidRDefault="00D55B2D" w:rsidP="00093DF4">
      <w:pPr>
        <w:numPr>
          <w:ilvl w:val="2"/>
          <w:numId w:val="10"/>
        </w:numPr>
        <w:tabs>
          <w:tab w:val="left" w:pos="568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Выделить в общежитии помещение для хранения крупногабаритных вещей Проживающего (камера хранения).</w:t>
      </w:r>
    </w:p>
    <w:p w:rsidR="00D55B2D" w:rsidRPr="00D55B2D" w:rsidRDefault="00D55B2D" w:rsidP="00093DF4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2.1.4. Заблаговременно (не менее чем за месяц) предупреждать Проживающего об изменении условий оплаты предоставляемых дополнительных услуг.</w:t>
      </w:r>
    </w:p>
    <w:p w:rsidR="00D55B2D" w:rsidRPr="00D55B2D" w:rsidRDefault="00D55B2D" w:rsidP="00093DF4">
      <w:pPr>
        <w:tabs>
          <w:tab w:val="left" w:pos="405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2.2. Проживающий обязуется:</w:t>
      </w:r>
    </w:p>
    <w:p w:rsidR="00D55B2D" w:rsidRPr="00D55B2D" w:rsidRDefault="00D55B2D" w:rsidP="00093DF4">
      <w:pPr>
        <w:tabs>
          <w:tab w:val="left" w:pos="19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 xml:space="preserve">2.2.1.Своевременно 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ab/>
        <w:t>вносить плату за предоставляемые ему дополнительные услуги в соответствии с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 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уставленными Исполнителем расценками. Плата за общежитие с учетом дополнительных услуг устанавливается приказом ректора ФГБОУ ВО «СГЮА», согласованным с первичной профсоюзной организацией обучающихся ФГБОУ ВО «СГЮА», в соответствии с дополнительными затратами на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 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эксплуатацию помещений общежитий.</w:t>
      </w:r>
    </w:p>
    <w:p w:rsidR="00D55B2D" w:rsidRPr="00D55B2D" w:rsidRDefault="00D55B2D" w:rsidP="00093DF4">
      <w:pPr>
        <w:tabs>
          <w:tab w:val="left" w:pos="210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 xml:space="preserve">2.2.2. Проживающий имеет право обратиться к Исполнителю с просьбой о выделении ему дополнительного места для членов семьи (супруг, ребенок). В случае выделения такого места в рамках действующих </w:t>
      </w:r>
      <w:proofErr w:type="gramStart"/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в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 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локальных нормативных акт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ов</w:t>
      </w:r>
      <w:proofErr w:type="gramEnd"/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 xml:space="preserve"> Исполнителя Проживающий оплачивает услуги за предоставление дополнительного места в порядке, установленном п.3.3 Договора.</w:t>
      </w:r>
    </w:p>
    <w:p w:rsidR="00D55B2D" w:rsidRPr="00D55B2D" w:rsidRDefault="00D55B2D" w:rsidP="00093DF4">
      <w:pPr>
        <w:keepNext/>
        <w:keepLines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  <w:bookmarkStart w:id="4" w:name="bookmark5"/>
      <w:r w:rsidRPr="00D55B2D"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  <w:t>3. Стоимость услуг, порядок расчетов</w:t>
      </w:r>
      <w:bookmarkEnd w:id="4"/>
    </w:p>
    <w:p w:rsidR="00D55B2D" w:rsidRPr="00D55B2D" w:rsidRDefault="00D55B2D" w:rsidP="00093DF4">
      <w:pPr>
        <w:tabs>
          <w:tab w:val="left" w:pos="1782"/>
          <w:tab w:val="left" w:leader="underscore" w:pos="5209"/>
          <w:tab w:val="left" w:leader="underscore" w:pos="5775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 xml:space="preserve">3.1. Стоимость услуг по Договору за учебный семестр/каникулярное время, установленная на момент заключения Договора, составляет ___________________________________________________рублей. </w:t>
      </w:r>
    </w:p>
    <w:p w:rsidR="00D55B2D" w:rsidRPr="00D55B2D" w:rsidRDefault="00D55B2D" w:rsidP="00093DF4">
      <w:pPr>
        <w:tabs>
          <w:tab w:val="left" w:pos="1782"/>
          <w:tab w:val="left" w:leader="underscore" w:pos="5209"/>
          <w:tab w:val="left" w:leader="underscore" w:pos="5775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3.2. Изменение стоимости услуг устанавливается дополнительным соглашением к Договору.</w:t>
      </w:r>
    </w:p>
    <w:p w:rsidR="00D55B2D" w:rsidRPr="00D55B2D" w:rsidRDefault="00D55B2D" w:rsidP="00093DF4">
      <w:pPr>
        <w:tabs>
          <w:tab w:val="left" w:pos="1782"/>
          <w:tab w:val="left" w:leader="underscore" w:pos="5209"/>
          <w:tab w:val="left" w:leader="underscore" w:pos="5775"/>
        </w:tabs>
        <w:spacing w:after="0" w:line="240" w:lineRule="auto"/>
        <w:jc w:val="both"/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  <w:t xml:space="preserve">3.3. Плата за проживание в общежитии, коммунальные и бытовые услуги вносится на расчетный счет Исполнителя </w:t>
      </w:r>
      <w:r w:rsidRPr="00D55B2D">
        <w:rPr>
          <w:rFonts w:ascii="Times New Roman" w:eastAsia="Tahoma" w:hAnsi="Times New Roman" w:cs="Times New Roman"/>
          <w:spacing w:val="-9"/>
          <w:sz w:val="20"/>
          <w:szCs w:val="20"/>
          <w:lang w:eastAsia="ru-RU"/>
        </w:rPr>
        <w:t>в</w:t>
      </w:r>
      <w:r w:rsidR="00093DF4">
        <w:rPr>
          <w:rFonts w:ascii="Times New Roman" w:eastAsia="Tahoma" w:hAnsi="Times New Roman" w:cs="Times New Roman"/>
          <w:spacing w:val="-9"/>
          <w:sz w:val="20"/>
          <w:szCs w:val="20"/>
          <w:lang w:eastAsia="ru-RU"/>
        </w:rPr>
        <w:t> </w:t>
      </w:r>
      <w:r w:rsidRPr="00D55B2D">
        <w:rPr>
          <w:rFonts w:ascii="Times New Roman" w:eastAsia="Tahoma" w:hAnsi="Times New Roman" w:cs="Times New Roman"/>
          <w:spacing w:val="-9"/>
          <w:sz w:val="20"/>
          <w:szCs w:val="20"/>
          <w:lang w:eastAsia="ru-RU"/>
        </w:rPr>
        <w:t>следующие сроки</w:t>
      </w:r>
      <w:r w:rsidRPr="00D55B2D"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  <w:t>:</w:t>
      </w:r>
    </w:p>
    <w:p w:rsidR="00D55B2D" w:rsidRPr="00D55B2D" w:rsidRDefault="00D55B2D" w:rsidP="00093DF4">
      <w:pPr>
        <w:tabs>
          <w:tab w:val="left" w:pos="1782"/>
          <w:tab w:val="left" w:leader="underscore" w:pos="5209"/>
          <w:tab w:val="left" w:leader="underscore" w:pos="5775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вновь вселившиеся</w:t>
      </w:r>
      <w:r w:rsidRPr="00D55B2D"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  <w:t xml:space="preserve"> – в течение 10 дней после выхода приказа о вселении;</w:t>
      </w:r>
    </w:p>
    <w:p w:rsidR="00D55B2D" w:rsidRPr="00D55B2D" w:rsidRDefault="00D55B2D" w:rsidP="00093DF4">
      <w:pPr>
        <w:tabs>
          <w:tab w:val="left" w:pos="1130"/>
        </w:tabs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проживающие в общежитии:</w:t>
      </w:r>
    </w:p>
    <w:p w:rsidR="00D55B2D" w:rsidRPr="00D55B2D" w:rsidRDefault="00D55B2D" w:rsidP="00093DF4">
      <w:pPr>
        <w:tabs>
          <w:tab w:val="left" w:pos="1130"/>
        </w:tabs>
        <w:spacing w:after="0" w:line="240" w:lineRule="auto"/>
        <w:jc w:val="both"/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  <w:t>за 1 семестр (с 1 сентября по 31 января) – до 10 сентября соответствующего календарного года;</w:t>
      </w:r>
    </w:p>
    <w:p w:rsidR="00D55B2D" w:rsidRPr="00D55B2D" w:rsidRDefault="00D55B2D" w:rsidP="00093DF4">
      <w:pPr>
        <w:tabs>
          <w:tab w:val="left" w:pos="1130"/>
        </w:tabs>
        <w:spacing w:after="0" w:line="240" w:lineRule="auto"/>
        <w:jc w:val="both"/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  <w:t>за 2 семестр (с 1 февраля по 30 июня) – до 10 февраля соответствующего календарного года;</w:t>
      </w:r>
    </w:p>
    <w:p w:rsidR="00D55B2D" w:rsidRPr="00D55B2D" w:rsidRDefault="00D55B2D" w:rsidP="00093DF4">
      <w:pPr>
        <w:tabs>
          <w:tab w:val="left" w:pos="1130"/>
        </w:tabs>
        <w:spacing w:after="0" w:line="240" w:lineRule="auto"/>
        <w:jc w:val="both"/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  <w:t>за каникулярное время (с 1 июля по 31 августа) – до 30 июня соответствующего календарного года.</w:t>
      </w:r>
    </w:p>
    <w:p w:rsidR="00D55B2D" w:rsidRPr="00D55B2D" w:rsidRDefault="00D55B2D" w:rsidP="00093DF4">
      <w:pPr>
        <w:keepNext/>
        <w:keepLines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  <w:bookmarkStart w:id="5" w:name="bookmark6"/>
      <w:r w:rsidRPr="00D55B2D"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  <w:t>4. Ответственность Сторон</w:t>
      </w:r>
      <w:bookmarkEnd w:id="5"/>
    </w:p>
    <w:p w:rsidR="00D55B2D" w:rsidRPr="00D55B2D" w:rsidRDefault="00D55B2D" w:rsidP="00093DF4">
      <w:pPr>
        <w:spacing w:after="0" w:line="240" w:lineRule="auto"/>
        <w:jc w:val="both"/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pacing w:val="-10"/>
          <w:sz w:val="20"/>
          <w:szCs w:val="20"/>
          <w:lang w:eastAsia="ru-RU"/>
        </w:rPr>
        <w:t>Стороны несут ответственность за неисполнение или ненадлежащее исполнение взятых на себя обязательств по настоящему Договору в соответствии с законодательством Российской Федерации.</w:t>
      </w:r>
    </w:p>
    <w:p w:rsidR="00D55B2D" w:rsidRPr="00D55B2D" w:rsidRDefault="00D55B2D" w:rsidP="00093DF4">
      <w:pPr>
        <w:keepNext/>
        <w:keepLines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  <w:t>5. Действие Договора</w:t>
      </w:r>
    </w:p>
    <w:p w:rsidR="00D55B2D" w:rsidRPr="00D55B2D" w:rsidRDefault="00D55B2D" w:rsidP="00093DF4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 xml:space="preserve">5.1. Настоящий Договор вступает в силу с момента его подписания сторонами и действует 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br/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до « _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_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__» _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__________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___ 20_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_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___</w:t>
      </w:r>
      <w:r w:rsidRPr="00D55B2D">
        <w:rPr>
          <w:rFonts w:ascii="Times New Roman" w:eastAsia="Tahoma" w:hAnsi="Times New Roman" w:cs="Times New Roman"/>
          <w:sz w:val="20"/>
          <w:szCs w:val="20"/>
          <w:shd w:val="clear" w:color="auto" w:fill="FFFFFF"/>
          <w:lang w:eastAsia="ru-RU"/>
        </w:rPr>
        <w:t>г.</w:t>
      </w:r>
    </w:p>
    <w:p w:rsidR="00D55B2D" w:rsidRPr="00D55B2D" w:rsidRDefault="00D55B2D" w:rsidP="00093DF4">
      <w:pPr>
        <w:tabs>
          <w:tab w:val="left" w:pos="763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lastRenderedPageBreak/>
        <w:t>5.2. Моментом начала исполнения обязательств по настоящему Договору является оплата Проживающим услуг по Договору.</w:t>
      </w:r>
    </w:p>
    <w:p w:rsidR="00D55B2D" w:rsidRPr="00D55B2D" w:rsidRDefault="00D55B2D" w:rsidP="00093DF4">
      <w:pPr>
        <w:tabs>
          <w:tab w:val="left" w:pos="763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5.3. В случае досрочного расторжения Договора по инициативе любой из Сторон денежные средства, уплаченные Проживающим в счет стоимости услуг по Договору, подлежат возврату в полном размере, если расторжение Договора произошло до начала периода, за который произведена оплата услуг. При расторжении Договора после начала указанного выше периода уплаченные денежные средства подлежат возврату за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 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вычетом стоимости фактически оказанных услуг на дату расторжения Договора.</w:t>
      </w:r>
    </w:p>
    <w:p w:rsidR="00D55B2D" w:rsidRPr="00D55B2D" w:rsidRDefault="00D55B2D" w:rsidP="00093DF4">
      <w:pPr>
        <w:keepNext/>
        <w:keepLines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eastAsia="ru-RU"/>
        </w:rPr>
        <w:t>6. Дополнительные условия</w:t>
      </w:r>
    </w:p>
    <w:p w:rsidR="00D55B2D" w:rsidRPr="00D55B2D" w:rsidRDefault="00D55B2D" w:rsidP="00093DF4">
      <w:pPr>
        <w:tabs>
          <w:tab w:val="left" w:pos="812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 xml:space="preserve">6.1. Все изменения и дополнения к настоящему Договору оформляются дополнительными соглашениями 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br/>
        <w:t>к Договору и являются его неотъемлемой частью.</w:t>
      </w:r>
    </w:p>
    <w:p w:rsidR="00D55B2D" w:rsidRPr="00D55B2D" w:rsidRDefault="00D55B2D" w:rsidP="00093DF4">
      <w:pPr>
        <w:tabs>
          <w:tab w:val="left" w:pos="730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 xml:space="preserve">6.2. Все споры, вытекающие из настоящего Договора, подлежат рассмотрению в Октябрьском районном суде 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br/>
        <w:t>г. Саратова.</w:t>
      </w:r>
    </w:p>
    <w:p w:rsidR="00D55B2D" w:rsidRPr="00D55B2D" w:rsidRDefault="00D55B2D" w:rsidP="00093DF4">
      <w:pPr>
        <w:tabs>
          <w:tab w:val="left" w:pos="807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6.3. Вопросы, не урегулированные настоящим Договором, регламентируются действующим законодательством РФ и локальными нормативными актами Исполнителя.</w:t>
      </w:r>
    </w:p>
    <w:p w:rsidR="00D55B2D" w:rsidRPr="00D55B2D" w:rsidRDefault="00D55B2D" w:rsidP="00093DF4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6.4. Настоящий Договор составлен в ____ экземплярах, имеющих равную юридическую силу, по одному для</w:t>
      </w:r>
      <w:r w:rsidR="00093DF4">
        <w:rPr>
          <w:rFonts w:ascii="Times New Roman" w:eastAsia="Tahoma" w:hAnsi="Times New Roman" w:cs="Times New Roman"/>
          <w:sz w:val="20"/>
          <w:szCs w:val="20"/>
          <w:lang w:eastAsia="ru-RU"/>
        </w:rPr>
        <w:t> </w:t>
      </w:r>
      <w:r w:rsidRPr="00D55B2D">
        <w:rPr>
          <w:rFonts w:ascii="Times New Roman" w:eastAsia="Tahoma" w:hAnsi="Times New Roman" w:cs="Times New Roman"/>
          <w:sz w:val="20"/>
          <w:szCs w:val="20"/>
          <w:lang w:eastAsia="ru-RU"/>
        </w:rPr>
        <w:t>каждой Сторон.</w:t>
      </w:r>
    </w:p>
    <w:p w:rsidR="00D55B2D" w:rsidRPr="00D55B2D" w:rsidRDefault="00D55B2D" w:rsidP="00D55B2D">
      <w:pPr>
        <w:keepNext/>
        <w:keepLines/>
        <w:tabs>
          <w:tab w:val="left" w:pos="3240"/>
          <w:tab w:val="left" w:pos="3420"/>
          <w:tab w:val="left" w:pos="5851"/>
        </w:tabs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</w:pPr>
      <w:r w:rsidRPr="00D55B2D">
        <w:rPr>
          <w:rFonts w:ascii="Times New Roman" w:eastAsia="Tahoma" w:hAnsi="Times New Roman" w:cs="Times New Roman"/>
          <w:b/>
          <w:bCs/>
          <w:sz w:val="20"/>
          <w:szCs w:val="20"/>
          <w:lang w:eastAsia="ru-RU"/>
        </w:rPr>
        <w:t>7. Юридические адреса и реквизиты Сторон</w:t>
      </w:r>
    </w:p>
    <w:p w:rsidR="00600FA9" w:rsidRDefault="00600FA9" w:rsidP="002B51F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 Math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4"/>
        <w:gridCol w:w="4819"/>
      </w:tblGrid>
      <w:tr w:rsidR="002B51F1" w:rsidRPr="002B51F1" w:rsidTr="00600FA9">
        <w:trPr>
          <w:trHeight w:val="91"/>
        </w:trPr>
        <w:tc>
          <w:tcPr>
            <w:tcW w:w="5034" w:type="dxa"/>
          </w:tcPr>
          <w:p w:rsidR="002B51F1" w:rsidRPr="002B51F1" w:rsidRDefault="00D55B2D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Исполните</w:t>
            </w:r>
            <w:r w:rsidR="002B51F1"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ль: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ФГБОУ ВО «СГЮА»</w:t>
            </w:r>
          </w:p>
          <w:p w:rsidR="002B51F1" w:rsidRPr="002B51F1" w:rsidRDefault="002B51F1" w:rsidP="00093DF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адрес:</w:t>
            </w: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 410056, г. Саратов,                                               ул. </w:t>
            </w:r>
            <w:proofErr w:type="spellStart"/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Вольская</w:t>
            </w:r>
            <w:proofErr w:type="spellEnd"/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УФК по Саратовской области (ФГБОУ ВО «СГЮА», л/с </w:t>
            </w: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20606Х89764</w:t>
            </w: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), ОКТМО 63701000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ИНН 6454006276 /КПП 645401001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р/с 03214643000000016000, БИК 016311121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к/с 40102810845370000052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 xml:space="preserve">Отделение Саратов Банка России//УФК по Саратовской области, </w:t>
            </w:r>
            <w:proofErr w:type="spellStart"/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г.Саратов</w:t>
            </w:r>
            <w:proofErr w:type="spellEnd"/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КБК </w:t>
            </w: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000 0 00 00000 00 0000 130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 /_______________/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Cs/>
                <w:sz w:val="20"/>
                <w:szCs w:val="20"/>
                <w:lang w:eastAsia="ru-RU"/>
              </w:rPr>
              <w:t>М.П. (подпись)                           (ФИО)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 / ___________/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Начальник отдела договорной 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-исковой работы 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 /____________/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Начальник управления эксплуатации 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имущественного комплекса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 /____________/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Начальник отдела эксплуатации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 /____________/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Заведующий общежитием №__ 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_________________/ _______________/</w:t>
            </w:r>
          </w:p>
        </w:tc>
        <w:tc>
          <w:tcPr>
            <w:tcW w:w="4819" w:type="dxa"/>
          </w:tcPr>
          <w:p w:rsidR="002B51F1" w:rsidRPr="002B51F1" w:rsidRDefault="00D55B2D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Проживающий</w:t>
            </w:r>
            <w:r w:rsidR="002B51F1"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(ФИО) 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Паспорт  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Выдан  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Тел.:____________________________________</w:t>
            </w:r>
          </w:p>
          <w:p w:rsidR="002B51F1" w:rsidRP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Подпись  _______________________________</w:t>
            </w:r>
          </w:p>
          <w:p w:rsidR="002B51F1" w:rsidRDefault="002B51F1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2B51F1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«__»____________20__г.</w:t>
            </w:r>
          </w:p>
          <w:p w:rsidR="007A0A36" w:rsidRDefault="007A0A36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</w:p>
          <w:p w:rsidR="007A0A36" w:rsidRDefault="007A0A36" w:rsidP="002B51F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</w:p>
          <w:p w:rsidR="0030712E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</w:p>
          <w:p w:rsidR="0030712E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Согласен </w:t>
            </w:r>
            <w:r w:rsidR="007019FB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 xml:space="preserve"> заключение настоящего Договора: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Законный представитель</w:t>
            </w: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30712E" w:rsidRPr="0034431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344316">
              <w:rPr>
                <w:rFonts w:ascii="Times New Roman" w:eastAsia="Cambria Math" w:hAnsi="Times New Roman" w:cs="Times New Roman"/>
                <w:sz w:val="20"/>
                <w:szCs w:val="20"/>
                <w:vertAlign w:val="subscript"/>
                <w:lang w:eastAsia="ru-RU"/>
              </w:rPr>
              <w:t>(ФИО)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Паспорт  ________________________________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Выдан  _________________________________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30712E" w:rsidRPr="007A0A36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Подпись  _______________________________</w:t>
            </w:r>
          </w:p>
          <w:p w:rsidR="007A0A36" w:rsidRPr="002B51F1" w:rsidRDefault="0030712E" w:rsidP="0030712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</w:pP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«_</w:t>
            </w: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</w:t>
            </w:r>
            <w:r w:rsidRPr="007A0A36">
              <w:rPr>
                <w:rFonts w:ascii="Times New Roman" w:eastAsia="Cambria Math" w:hAnsi="Times New Roman" w:cs="Times New Roman"/>
                <w:sz w:val="20"/>
                <w:szCs w:val="20"/>
                <w:lang w:eastAsia="ru-RU"/>
              </w:rPr>
              <w:t>_»____________20__г.</w:t>
            </w:r>
          </w:p>
        </w:tc>
      </w:tr>
    </w:tbl>
    <w:p w:rsidR="00122108" w:rsidRDefault="009A3BC0"/>
    <w:sectPr w:rsidR="00122108" w:rsidSect="002B51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5A8C6C"/>
    <w:lvl w:ilvl="0">
      <w:start w:val="1"/>
      <w:numFmt w:val="decimal"/>
      <w:lvlText w:val="1.%1."/>
      <w:lvlJc w:val="left"/>
      <w:rPr>
        <w:rFonts w:ascii="Cambria Math" w:hAnsi="Cambria Mat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mbria Math" w:hAnsi="Cambria Mat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Cambria Math" w:hAnsi="Cambria Mat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Cambria Math" w:hAnsi="Cambria Mat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Cambria Math" w:hAnsi="Cambria Mat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Cambria Math" w:hAnsi="Cambria Mat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Cambria Math" w:hAnsi="Cambria Mat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Cambria Math" w:hAnsi="Cambria Math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61395C"/>
    <w:multiLevelType w:val="singleLevel"/>
    <w:tmpl w:val="4DAC557C"/>
    <w:lvl w:ilvl="0">
      <w:start w:val="5"/>
      <w:numFmt w:val="decimal"/>
      <w:suff w:val="space"/>
      <w:lvlText w:val="2.2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2" w15:restartNumberingAfterBreak="0">
    <w:nsid w:val="0CA37D9C"/>
    <w:multiLevelType w:val="singleLevel"/>
    <w:tmpl w:val="869C7784"/>
    <w:lvl w:ilvl="0">
      <w:start w:val="11"/>
      <w:numFmt w:val="decimal"/>
      <w:suff w:val="space"/>
      <w:lvlText w:val="2.1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3" w15:restartNumberingAfterBreak="0">
    <w:nsid w:val="154B165D"/>
    <w:multiLevelType w:val="singleLevel"/>
    <w:tmpl w:val="93D03CC6"/>
    <w:lvl w:ilvl="0">
      <w:start w:val="1"/>
      <w:numFmt w:val="decimal"/>
      <w:suff w:val="space"/>
      <w:lvlText w:val="5.3.%1.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415A5E"/>
    <w:multiLevelType w:val="singleLevel"/>
    <w:tmpl w:val="74C87A12"/>
    <w:lvl w:ilvl="0">
      <w:start w:val="1"/>
      <w:numFmt w:val="decimal"/>
      <w:suff w:val="space"/>
      <w:lvlText w:val="3.2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5" w15:restartNumberingAfterBreak="0">
    <w:nsid w:val="22B95098"/>
    <w:multiLevelType w:val="singleLevel"/>
    <w:tmpl w:val="53E4C26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6" w15:restartNumberingAfterBreak="0">
    <w:nsid w:val="2E872AB3"/>
    <w:multiLevelType w:val="singleLevel"/>
    <w:tmpl w:val="949CAD06"/>
    <w:lvl w:ilvl="0">
      <w:start w:val="1"/>
      <w:numFmt w:val="decimal"/>
      <w:suff w:val="space"/>
      <w:lvlText w:val="5.%1."/>
      <w:lvlJc w:val="left"/>
      <w:pPr>
        <w:ind w:left="360" w:hanging="360"/>
      </w:pPr>
      <w:rPr>
        <w:rFonts w:ascii="Cambria Math" w:hAnsi="Cambria Math" w:cs="Cambria Math" w:hint="default"/>
      </w:rPr>
    </w:lvl>
  </w:abstractNum>
  <w:abstractNum w:abstractNumId="7" w15:restartNumberingAfterBreak="0">
    <w:nsid w:val="441C2739"/>
    <w:multiLevelType w:val="singleLevel"/>
    <w:tmpl w:val="A2B4815C"/>
    <w:lvl w:ilvl="0">
      <w:start w:val="1"/>
      <w:numFmt w:val="decimal"/>
      <w:suff w:val="space"/>
      <w:lvlText w:val="5.4.%1."/>
      <w:lvlJc w:val="left"/>
      <w:pPr>
        <w:ind w:left="720" w:hanging="360"/>
      </w:pPr>
      <w:rPr>
        <w:rFonts w:hint="default"/>
        <w:color w:val="auto"/>
      </w:rPr>
    </w:lvl>
  </w:abstractNum>
  <w:abstractNum w:abstractNumId="8" w15:restartNumberingAfterBreak="0">
    <w:nsid w:val="55073CB7"/>
    <w:multiLevelType w:val="singleLevel"/>
    <w:tmpl w:val="88605D16"/>
    <w:lvl w:ilvl="0">
      <w:start w:val="2"/>
      <w:numFmt w:val="decimal"/>
      <w:suff w:val="space"/>
      <w:lvlText w:val="2.1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abstractNum w:abstractNumId="9" w15:restartNumberingAfterBreak="0">
    <w:nsid w:val="71BF0F4C"/>
    <w:multiLevelType w:val="singleLevel"/>
    <w:tmpl w:val="AFEC87C6"/>
    <w:lvl w:ilvl="0">
      <w:start w:val="1"/>
      <w:numFmt w:val="decimal"/>
      <w:suff w:val="space"/>
      <w:lvlText w:val="3.1.%1."/>
      <w:lvlJc w:val="left"/>
      <w:pPr>
        <w:ind w:left="0" w:firstLine="0"/>
      </w:pPr>
      <w:rPr>
        <w:rFonts w:ascii="Cambria Math" w:hAnsi="Cambria Math" w:cs="Cambria Math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1"/>
    <w:rsid w:val="00093DF4"/>
    <w:rsid w:val="002B51F1"/>
    <w:rsid w:val="0030712E"/>
    <w:rsid w:val="003E5885"/>
    <w:rsid w:val="0056493C"/>
    <w:rsid w:val="00600FA9"/>
    <w:rsid w:val="007019FB"/>
    <w:rsid w:val="007A0A36"/>
    <w:rsid w:val="0083065D"/>
    <w:rsid w:val="009A3BC0"/>
    <w:rsid w:val="00C735C9"/>
    <w:rsid w:val="00D1757F"/>
    <w:rsid w:val="00D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3568-395B-4B9B-9650-D903186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2</cp:revision>
  <dcterms:created xsi:type="dcterms:W3CDTF">2022-07-11T10:52:00Z</dcterms:created>
  <dcterms:modified xsi:type="dcterms:W3CDTF">2022-07-11T10:52:00Z</dcterms:modified>
</cp:coreProperties>
</file>